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4A0" w:rsidRPr="004A6E52" w:rsidRDefault="008D74A0" w:rsidP="008D74A0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4A6E5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   Pr</w:t>
      </w:r>
      <w:r w:rsidRPr="004A6E52">
        <w:rPr>
          <w:rFonts w:cs="Calibri"/>
          <w:b/>
          <w:bCs/>
          <w:sz w:val="28"/>
          <w:szCs w:val="28"/>
          <w:lang w:val="fr-FR" w:bidi="ar-LB"/>
        </w:rPr>
        <w:t>e</w:t>
      </w:r>
      <w:r w:rsidRPr="004A6E5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mi</w:t>
      </w:r>
      <w:r w:rsidRPr="004A6E52">
        <w:rPr>
          <w:rFonts w:cs="Calibri"/>
          <w:b/>
          <w:bCs/>
          <w:sz w:val="28"/>
          <w:szCs w:val="28"/>
          <w:lang w:val="fr-FR" w:bidi="ar-LB"/>
        </w:rPr>
        <w:t xml:space="preserve">ère année                                                                                                   </w:t>
      </w:r>
      <w:r w:rsidRPr="004A6E5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60h                                                                                                    </w:t>
      </w:r>
    </w:p>
    <w:p w:rsidR="00950301" w:rsidRPr="00950301" w:rsidRDefault="008D74A0" w:rsidP="00950301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4A6E52">
        <w:rPr>
          <w:rFonts w:asciiTheme="majorBidi" w:hAnsiTheme="majorBidi" w:cstheme="majorBidi"/>
          <w:sz w:val="28"/>
          <w:szCs w:val="28"/>
          <w:lang w:val="fr-FR" w:bidi="ar-LB"/>
        </w:rPr>
        <w:t xml:space="preserve">          </w:t>
      </w:r>
      <w:r w:rsidR="00950301" w:rsidRPr="005F7ECB">
        <w:rPr>
          <w:rFonts w:asciiTheme="majorBidi" w:hAnsiTheme="majorBidi" w:cstheme="majorBidi"/>
          <w:b/>
          <w:bCs/>
          <w:sz w:val="28"/>
          <w:szCs w:val="28"/>
          <w:highlight w:val="yellow"/>
        </w:rPr>
        <w:t xml:space="preserve">   </w:t>
      </w:r>
      <w:r w:rsidR="00950301" w:rsidRPr="0095030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CA"/>
        </w:rPr>
        <w:t xml:space="preserve">Psychologie du développement </w:t>
      </w:r>
    </w:p>
    <w:p w:rsidR="00950301" w:rsidRPr="00950301" w:rsidRDefault="00950301" w:rsidP="00950301">
      <w:pPr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950301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L’évolution psychologique de l’enfant et de l’adolescent</w:t>
      </w:r>
    </w:p>
    <w:p w:rsidR="00950301" w:rsidRPr="005F7ECB" w:rsidRDefault="00950301" w:rsidP="00950301">
      <w:pPr>
        <w:numPr>
          <w:ilvl w:val="0"/>
          <w:numId w:val="7"/>
        </w:numPr>
        <w:spacing w:after="0"/>
        <w:ind w:left="975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5F7ECB">
        <w:rPr>
          <w:rFonts w:asciiTheme="majorBidi" w:hAnsiTheme="majorBidi" w:cstheme="majorBidi"/>
          <w:b/>
          <w:bCs/>
          <w:sz w:val="28"/>
          <w:szCs w:val="28"/>
          <w:u w:val="single"/>
        </w:rPr>
        <w:t>De 0 à 3 ans</w:t>
      </w:r>
    </w:p>
    <w:p w:rsidR="00950301" w:rsidRPr="00950301" w:rsidRDefault="00950301" w:rsidP="00950301">
      <w:pPr>
        <w:numPr>
          <w:ilvl w:val="0"/>
          <w:numId w:val="1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950301">
        <w:rPr>
          <w:rFonts w:asciiTheme="majorBidi" w:hAnsiTheme="majorBidi" w:cstheme="majorBidi"/>
          <w:sz w:val="28"/>
          <w:szCs w:val="28"/>
          <w:lang w:val="fr-CA"/>
        </w:rPr>
        <w:t>La vie embryonnaire et la vie fœtale.</w:t>
      </w:r>
    </w:p>
    <w:p w:rsidR="00950301" w:rsidRDefault="00950301" w:rsidP="00950301">
      <w:pPr>
        <w:numPr>
          <w:ilvl w:val="0"/>
          <w:numId w:val="1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5F7ECB">
        <w:rPr>
          <w:rFonts w:asciiTheme="majorBidi" w:hAnsiTheme="majorBidi" w:cstheme="majorBidi"/>
          <w:sz w:val="28"/>
          <w:szCs w:val="28"/>
        </w:rPr>
        <w:t>La naissance</w:t>
      </w:r>
    </w:p>
    <w:p w:rsidR="00950301" w:rsidRPr="003D4A7A" w:rsidRDefault="00950301" w:rsidP="0095030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126FA">
        <w:rPr>
          <w:rFonts w:ascii="Times New Roman" w:hAnsi="Times New Roman" w:cs="Times New Roman"/>
          <w:sz w:val="28"/>
          <w:szCs w:val="28"/>
        </w:rPr>
        <w:t>Les traumatismes de naissance</w:t>
      </w:r>
    </w:p>
    <w:p w:rsidR="00950301" w:rsidRPr="00950301" w:rsidRDefault="00950301" w:rsidP="00950301">
      <w:pPr>
        <w:numPr>
          <w:ilvl w:val="0"/>
          <w:numId w:val="1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950301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 xml:space="preserve">La premiere annee de la vie : </w:t>
      </w:r>
      <w:r w:rsidRPr="00950301">
        <w:rPr>
          <w:rFonts w:asciiTheme="majorBidi" w:hAnsiTheme="majorBidi" w:cstheme="majorBidi"/>
          <w:sz w:val="28"/>
          <w:szCs w:val="28"/>
          <w:lang w:val="fr-CA"/>
        </w:rPr>
        <w:t xml:space="preserve">Le développement psychomoteur </w:t>
      </w:r>
    </w:p>
    <w:p w:rsidR="00950301" w:rsidRPr="00950301" w:rsidRDefault="00950301" w:rsidP="00950301">
      <w:pPr>
        <w:spacing w:after="0"/>
        <w:ind w:left="135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950301">
        <w:rPr>
          <w:rFonts w:asciiTheme="majorBidi" w:hAnsiTheme="majorBidi" w:cstheme="majorBidi"/>
          <w:sz w:val="28"/>
          <w:szCs w:val="28"/>
          <w:lang w:val="fr-CA"/>
        </w:rPr>
        <w:t xml:space="preserve">  de l’intelligence sensori-motrice -Le développement affectif</w:t>
      </w:r>
    </w:p>
    <w:p w:rsidR="00950301" w:rsidRPr="00950301" w:rsidRDefault="00950301" w:rsidP="00950301">
      <w:pPr>
        <w:spacing w:after="0"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950301">
        <w:rPr>
          <w:rFonts w:asciiTheme="majorBidi" w:hAnsiTheme="majorBidi" w:cstheme="majorBidi"/>
          <w:sz w:val="28"/>
          <w:szCs w:val="28"/>
          <w:lang w:val="fr-CA"/>
        </w:rPr>
        <w:t xml:space="preserve">               -  </w:t>
      </w:r>
      <w:r w:rsidRPr="00950301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La seconde et la troisième année de la vie</w:t>
      </w:r>
      <w:r w:rsidRPr="00950301">
        <w:rPr>
          <w:rFonts w:asciiTheme="majorBidi" w:hAnsiTheme="majorBidi" w:cstheme="majorBidi"/>
          <w:b/>
          <w:bCs/>
          <w:sz w:val="28"/>
          <w:szCs w:val="28"/>
          <w:lang w:val="fr-CA"/>
        </w:rPr>
        <w:t> :</w:t>
      </w:r>
      <w:r w:rsidRPr="00950301">
        <w:rPr>
          <w:rFonts w:asciiTheme="majorBidi" w:hAnsiTheme="majorBidi" w:cstheme="majorBidi"/>
          <w:sz w:val="28"/>
          <w:szCs w:val="28"/>
          <w:lang w:val="fr-CA"/>
        </w:rPr>
        <w:t xml:space="preserve"> Le développement affectif/ langagier/ sensori-moteur</w:t>
      </w:r>
    </w:p>
    <w:p w:rsidR="00950301" w:rsidRPr="00950301" w:rsidRDefault="00950301" w:rsidP="00950301">
      <w:pPr>
        <w:numPr>
          <w:ilvl w:val="0"/>
          <w:numId w:val="7"/>
        </w:numPr>
        <w:spacing w:after="0"/>
        <w:ind w:left="975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950301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De la quatrième à la sixième année de la vie</w:t>
      </w:r>
      <w:r w:rsidRPr="00950301">
        <w:rPr>
          <w:rFonts w:asciiTheme="majorBidi" w:hAnsiTheme="majorBidi" w:cstheme="majorBidi"/>
          <w:b/>
          <w:bCs/>
          <w:sz w:val="28"/>
          <w:szCs w:val="28"/>
          <w:lang w:val="fr-CA"/>
        </w:rPr>
        <w:t> :</w:t>
      </w:r>
    </w:p>
    <w:p w:rsidR="00950301" w:rsidRPr="00950301" w:rsidRDefault="00950301" w:rsidP="00950301">
      <w:pPr>
        <w:ind w:left="975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950301">
        <w:rPr>
          <w:rFonts w:ascii="Times New Roman" w:hAnsi="Times New Roman" w:cs="Times New Roman"/>
          <w:sz w:val="28"/>
          <w:szCs w:val="28"/>
          <w:lang w:val="fr-CA"/>
        </w:rPr>
        <w:t>- Le premier contact avec l’école, les capacités de jeu et leurs implications socio-affectives</w:t>
      </w:r>
    </w:p>
    <w:p w:rsidR="00950301" w:rsidRPr="00950301" w:rsidRDefault="00950301" w:rsidP="00950301">
      <w:pPr>
        <w:ind w:left="540"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950301">
        <w:rPr>
          <w:rFonts w:ascii="Times New Roman" w:hAnsi="Times New Roman" w:cs="Times New Roman"/>
          <w:sz w:val="28"/>
          <w:szCs w:val="28"/>
          <w:lang w:val="fr-CA"/>
        </w:rPr>
        <w:t xml:space="preserve">      - La découverte de la différence anatomique des sexes, le stade œdipien et la castration </w:t>
      </w:r>
    </w:p>
    <w:p w:rsidR="00950301" w:rsidRPr="00950301" w:rsidRDefault="00950301" w:rsidP="00950301">
      <w:pPr>
        <w:spacing w:after="0"/>
        <w:ind w:left="975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950301">
        <w:rPr>
          <w:rFonts w:ascii="Times New Roman" w:hAnsi="Times New Roman" w:cs="Times New Roman"/>
          <w:sz w:val="28"/>
          <w:szCs w:val="28"/>
          <w:lang w:val="fr-CA"/>
        </w:rPr>
        <w:t>- La période pré-opératoire du développement de la pensé</w:t>
      </w:r>
    </w:p>
    <w:p w:rsidR="00950301" w:rsidRPr="00950301" w:rsidRDefault="00950301" w:rsidP="00950301">
      <w:pPr>
        <w:numPr>
          <w:ilvl w:val="0"/>
          <w:numId w:val="7"/>
        </w:numPr>
        <w:spacing w:after="0"/>
        <w:ind w:left="975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950301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L’enfant de six à onze ans</w:t>
      </w:r>
      <w:r w:rsidRPr="00950301">
        <w:rPr>
          <w:rFonts w:asciiTheme="majorBidi" w:hAnsiTheme="majorBidi" w:cstheme="majorBidi"/>
          <w:b/>
          <w:bCs/>
          <w:sz w:val="28"/>
          <w:szCs w:val="28"/>
          <w:lang w:val="fr-CA"/>
        </w:rPr>
        <w:t> :</w:t>
      </w:r>
    </w:p>
    <w:p w:rsidR="00950301" w:rsidRPr="00950301" w:rsidRDefault="00950301" w:rsidP="00950301">
      <w:pPr>
        <w:numPr>
          <w:ilvl w:val="0"/>
          <w:numId w:val="1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950301">
        <w:rPr>
          <w:rFonts w:asciiTheme="majorBidi" w:hAnsiTheme="majorBidi" w:cstheme="majorBidi"/>
          <w:sz w:val="28"/>
          <w:szCs w:val="28"/>
          <w:lang w:val="fr-CA"/>
        </w:rPr>
        <w:t>La première socialisation : le développement cognitif, l’école  et ses difficultés.</w:t>
      </w:r>
    </w:p>
    <w:p w:rsidR="00950301" w:rsidRPr="00950301" w:rsidRDefault="00950301" w:rsidP="00950301">
      <w:pPr>
        <w:numPr>
          <w:ilvl w:val="0"/>
          <w:numId w:val="1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950301">
        <w:rPr>
          <w:rFonts w:asciiTheme="majorBidi" w:hAnsiTheme="majorBidi" w:cstheme="majorBidi"/>
          <w:sz w:val="28"/>
          <w:szCs w:val="28"/>
          <w:lang w:val="fr-CA"/>
        </w:rPr>
        <w:t>Les rapports avec la famille.</w:t>
      </w:r>
    </w:p>
    <w:p w:rsidR="00950301" w:rsidRPr="00950301" w:rsidRDefault="00950301" w:rsidP="00950301">
      <w:pPr>
        <w:numPr>
          <w:ilvl w:val="0"/>
          <w:numId w:val="1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950301">
        <w:rPr>
          <w:rFonts w:asciiTheme="majorBidi" w:hAnsiTheme="majorBidi" w:cstheme="majorBidi"/>
          <w:sz w:val="28"/>
          <w:szCs w:val="28"/>
          <w:lang w:val="fr-CA"/>
        </w:rPr>
        <w:t>Le stade de latence et ses difficultés affectives</w:t>
      </w:r>
    </w:p>
    <w:p w:rsidR="00950301" w:rsidRDefault="00950301" w:rsidP="00950301">
      <w:pPr>
        <w:numPr>
          <w:ilvl w:val="0"/>
          <w:numId w:val="1"/>
        </w:numPr>
        <w:spacing w:after="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5F7ECB">
        <w:rPr>
          <w:rFonts w:asciiTheme="majorBidi" w:hAnsiTheme="majorBidi" w:cstheme="majorBidi"/>
          <w:sz w:val="28"/>
          <w:szCs w:val="28"/>
        </w:rPr>
        <w:t>La période des opérations concrètes</w:t>
      </w:r>
    </w:p>
    <w:p w:rsidR="00950301" w:rsidRPr="00950301" w:rsidRDefault="00950301" w:rsidP="0095030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950301">
        <w:rPr>
          <w:rFonts w:ascii="Times New Roman" w:hAnsi="Times New Roman" w:cs="Times New Roman"/>
          <w:sz w:val="28"/>
          <w:szCs w:val="28"/>
          <w:lang w:val="fr-CA"/>
        </w:rPr>
        <w:t>Le rôle du psychologue scolaire et du groupe de soutien (l’orthophoniste, le psychomotricien, l’orthopédagogue dans l’equilibre sain de la personnalite de l’enfant aux besoins spécifiques)</w:t>
      </w:r>
    </w:p>
    <w:p w:rsidR="00950301" w:rsidRPr="005F7ECB" w:rsidRDefault="00950301" w:rsidP="00950301">
      <w:pPr>
        <w:numPr>
          <w:ilvl w:val="0"/>
          <w:numId w:val="7"/>
        </w:numPr>
        <w:spacing w:after="0"/>
        <w:ind w:left="975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5F7ECB">
        <w:rPr>
          <w:rFonts w:asciiTheme="majorBidi" w:hAnsiTheme="majorBidi" w:cstheme="majorBidi"/>
          <w:b/>
          <w:bCs/>
          <w:sz w:val="28"/>
          <w:szCs w:val="28"/>
          <w:u w:val="single"/>
        </w:rPr>
        <w:t>La puberté et l’adolescence</w:t>
      </w:r>
      <w:r w:rsidRPr="005F7ECB">
        <w:rPr>
          <w:rFonts w:asciiTheme="majorBidi" w:hAnsiTheme="majorBidi" w:cstheme="majorBidi"/>
          <w:b/>
          <w:bCs/>
          <w:sz w:val="28"/>
          <w:szCs w:val="28"/>
        </w:rPr>
        <w:t> :</w:t>
      </w:r>
    </w:p>
    <w:p w:rsidR="00950301" w:rsidRPr="005F7ECB" w:rsidRDefault="00950301" w:rsidP="00950301">
      <w:pPr>
        <w:spacing w:after="0"/>
        <w:ind w:left="975"/>
        <w:contextualSpacing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r w:rsidRPr="005F7ECB">
        <w:rPr>
          <w:rFonts w:asciiTheme="majorBidi" w:hAnsiTheme="majorBidi" w:cstheme="majorBidi"/>
          <w:sz w:val="28"/>
          <w:szCs w:val="28"/>
        </w:rPr>
        <w:t xml:space="preserve">Le développement psychobiologique </w:t>
      </w:r>
    </w:p>
    <w:p w:rsidR="00950301" w:rsidRPr="00950301" w:rsidRDefault="00950301" w:rsidP="00950301">
      <w:pPr>
        <w:spacing w:after="0"/>
        <w:ind w:left="540"/>
        <w:contextualSpacing/>
        <w:jc w:val="both"/>
        <w:rPr>
          <w:rFonts w:asciiTheme="majorBidi" w:hAnsiTheme="majorBidi" w:cstheme="majorBidi"/>
          <w:sz w:val="28"/>
          <w:szCs w:val="28"/>
          <w:lang w:val="fr-CA"/>
        </w:rPr>
      </w:pPr>
      <w:r w:rsidRPr="00950301">
        <w:rPr>
          <w:rFonts w:asciiTheme="majorBidi" w:hAnsiTheme="majorBidi" w:cstheme="majorBidi"/>
          <w:sz w:val="28"/>
          <w:szCs w:val="28"/>
          <w:lang w:val="fr-CA"/>
        </w:rPr>
        <w:t xml:space="preserve">       - Le développement de la sexualité et ses implications (la phase génitale)</w:t>
      </w:r>
    </w:p>
    <w:p w:rsidR="00950301" w:rsidRPr="00950301" w:rsidRDefault="00950301" w:rsidP="00950301">
      <w:pPr>
        <w:spacing w:after="0"/>
        <w:ind w:left="540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950301">
        <w:rPr>
          <w:rFonts w:asciiTheme="majorBidi" w:hAnsiTheme="majorBidi" w:cstheme="majorBidi"/>
          <w:sz w:val="28"/>
          <w:szCs w:val="28"/>
          <w:lang w:val="fr-CA"/>
        </w:rPr>
        <w:t xml:space="preserve">       - La crise d’adolescence et ses répercussions </w:t>
      </w:r>
    </w:p>
    <w:p w:rsidR="00950301" w:rsidRPr="00950301" w:rsidRDefault="00950301" w:rsidP="00950301">
      <w:pPr>
        <w:jc w:val="both"/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CA"/>
        </w:rPr>
      </w:pPr>
    </w:p>
    <w:p w:rsidR="00950301" w:rsidRPr="00950301" w:rsidRDefault="00950301" w:rsidP="00950301">
      <w:pPr>
        <w:spacing w:after="0"/>
        <w:rPr>
          <w:rFonts w:asciiTheme="majorBidi" w:hAnsiTheme="majorBidi" w:cstheme="majorBidi"/>
          <w:b/>
          <w:bCs/>
          <w:sz w:val="40"/>
          <w:szCs w:val="40"/>
          <w:lang w:val="fr-CA"/>
        </w:rPr>
      </w:pPr>
      <w:bookmarkStart w:id="0" w:name="_GoBack"/>
      <w:bookmarkEnd w:id="0"/>
    </w:p>
    <w:p w:rsidR="00950301" w:rsidRPr="00950301" w:rsidRDefault="00950301" w:rsidP="00950301">
      <w:pPr>
        <w:spacing w:after="0"/>
        <w:rPr>
          <w:rFonts w:asciiTheme="majorBidi" w:hAnsiTheme="majorBidi" w:cstheme="majorBidi"/>
          <w:b/>
          <w:bCs/>
          <w:sz w:val="40"/>
          <w:szCs w:val="40"/>
          <w:lang w:val="fr-CA"/>
        </w:rPr>
      </w:pPr>
    </w:p>
    <w:p w:rsidR="009F1D4A" w:rsidRPr="00950301" w:rsidRDefault="009F1D4A" w:rsidP="00950301">
      <w:pPr>
        <w:rPr>
          <w:lang w:val="fr-CA" w:bidi="ar-LB"/>
        </w:rPr>
      </w:pPr>
    </w:p>
    <w:sectPr w:rsidR="009F1D4A" w:rsidRPr="00950301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F39" w:rsidRDefault="00773F39" w:rsidP="00147F0E">
      <w:pPr>
        <w:spacing w:after="0" w:line="240" w:lineRule="auto"/>
      </w:pPr>
      <w:r>
        <w:separator/>
      </w:r>
    </w:p>
  </w:endnote>
  <w:endnote w:type="continuationSeparator" w:id="0">
    <w:p w:rsidR="00773F39" w:rsidRDefault="00773F39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C6608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3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F39" w:rsidRDefault="00773F39" w:rsidP="00147F0E">
      <w:pPr>
        <w:spacing w:after="0" w:line="240" w:lineRule="auto"/>
      </w:pPr>
      <w:r>
        <w:separator/>
      </w:r>
    </w:p>
  </w:footnote>
  <w:footnote w:type="continuationSeparator" w:id="0">
    <w:p w:rsidR="00773F39" w:rsidRDefault="00773F39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0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1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3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01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6608C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F3BBCA"/>
  <w15:docId w15:val="{46F72620-7246-4F87-B097-EA6FE2079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A864C-7679-4CED-A3D7-DF18546C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2020-09-28T08:34:00Z</dcterms:modified>
</cp:coreProperties>
</file>